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98" w:rsidRPr="00BF7106" w:rsidRDefault="009201FD" w:rsidP="00F10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Summer </w:t>
      </w:r>
      <w:r w:rsidRPr="002A5019">
        <w:rPr>
          <w:b/>
          <w:sz w:val="28"/>
          <w:szCs w:val="28"/>
        </w:rPr>
        <w:t>201</w:t>
      </w:r>
      <w:r w:rsidR="00E05D93">
        <w:rPr>
          <w:b/>
          <w:sz w:val="28"/>
          <w:szCs w:val="28"/>
        </w:rPr>
        <w:t>5</w:t>
      </w:r>
      <w:r w:rsidR="00F10298" w:rsidRPr="00BF7106">
        <w:rPr>
          <w:b/>
          <w:sz w:val="28"/>
          <w:szCs w:val="28"/>
        </w:rPr>
        <w:t xml:space="preserve"> – Registration </w:t>
      </w:r>
      <w:r w:rsidR="00BE67FE">
        <w:rPr>
          <w:b/>
          <w:sz w:val="28"/>
          <w:szCs w:val="28"/>
        </w:rPr>
        <w:t xml:space="preserve">Requirements and </w:t>
      </w:r>
      <w:r w:rsidR="00F10298" w:rsidRPr="00BF7106">
        <w:rPr>
          <w:b/>
          <w:sz w:val="28"/>
          <w:szCs w:val="28"/>
        </w:rPr>
        <w:t>Options for Graduate Students</w:t>
      </w:r>
      <w:r w:rsidR="00CD716A">
        <w:rPr>
          <w:b/>
          <w:sz w:val="28"/>
          <w:szCs w:val="28"/>
        </w:rPr>
        <w:t>:</w:t>
      </w:r>
      <w:r w:rsidR="00CD716A">
        <w:rPr>
          <w:b/>
          <w:sz w:val="28"/>
          <w:szCs w:val="28"/>
        </w:rPr>
        <w:br/>
      </w:r>
      <w:r w:rsidR="00AD7445" w:rsidRPr="00BF7106">
        <w:rPr>
          <w:b/>
          <w:sz w:val="28"/>
          <w:szCs w:val="28"/>
        </w:rPr>
        <w:t>FICA-Exemption and Financial Aid Eligibility Requirements</w:t>
      </w:r>
    </w:p>
    <w:p w:rsidR="00BE67FE" w:rsidRPr="00BE67FE" w:rsidRDefault="00BE67FE" w:rsidP="00052B0B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360"/>
        <w:rPr>
          <w:sz w:val="20"/>
          <w:szCs w:val="20"/>
        </w:rPr>
      </w:pPr>
      <w:r>
        <w:rPr>
          <w:b/>
          <w:sz w:val="20"/>
          <w:szCs w:val="20"/>
        </w:rPr>
        <w:t xml:space="preserve">All </w:t>
      </w:r>
      <w:r w:rsidR="00917DCC" w:rsidRPr="00917DCC">
        <w:rPr>
          <w:b/>
          <w:sz w:val="20"/>
          <w:szCs w:val="20"/>
        </w:rPr>
        <w:t>Graduate Assistants must register</w:t>
      </w:r>
      <w:r w:rsidR="009201FD">
        <w:rPr>
          <w:sz w:val="20"/>
          <w:szCs w:val="20"/>
        </w:rPr>
        <w:t xml:space="preserve"> for GRAD 603 (class number </w:t>
      </w:r>
      <w:r w:rsidR="003820B9">
        <w:rPr>
          <w:sz w:val="20"/>
          <w:szCs w:val="20"/>
        </w:rPr>
        <w:t>15</w:t>
      </w:r>
      <w:r w:rsidR="00E05D93">
        <w:rPr>
          <w:sz w:val="20"/>
          <w:szCs w:val="20"/>
        </w:rPr>
        <w:t>40</w:t>
      </w:r>
      <w:r w:rsidR="00917DCC">
        <w:rPr>
          <w:sz w:val="20"/>
          <w:szCs w:val="20"/>
        </w:rPr>
        <w:t>), which carries two (2) credits at no cost.</w:t>
      </w:r>
    </w:p>
    <w:p w:rsidR="00917DCC" w:rsidRPr="00BE67FE" w:rsidRDefault="00BE67FE" w:rsidP="00BE67FE">
      <w:pPr>
        <w:ind w:left="360" w:right="360"/>
        <w:rPr>
          <w:sz w:val="20"/>
          <w:szCs w:val="20"/>
        </w:rPr>
      </w:pPr>
      <w:r w:rsidRPr="00711101">
        <w:rPr>
          <w:b/>
          <w:sz w:val="20"/>
          <w:szCs w:val="20"/>
        </w:rPr>
        <w:t xml:space="preserve">Graduate Assistants with F-1, J-1, M-1, or Q-1 </w:t>
      </w:r>
      <w:r w:rsidRPr="00BE67FE">
        <w:rPr>
          <w:sz w:val="20"/>
          <w:szCs w:val="20"/>
        </w:rPr>
        <w:t>immigration status</w:t>
      </w:r>
      <w:r w:rsidR="00362DF1">
        <w:rPr>
          <w:sz w:val="20"/>
          <w:szCs w:val="20"/>
        </w:rPr>
        <w:t>es</w:t>
      </w:r>
      <w:r w:rsidRPr="00BE67FE">
        <w:rPr>
          <w:sz w:val="20"/>
          <w:szCs w:val="20"/>
        </w:rPr>
        <w:t xml:space="preserve"> are already FICA-exempt</w:t>
      </w:r>
      <w:r>
        <w:rPr>
          <w:sz w:val="20"/>
          <w:szCs w:val="20"/>
        </w:rPr>
        <w:t xml:space="preserve"> and are ineligible to receive financial aid</w:t>
      </w:r>
      <w:r w:rsidRPr="00BE67FE">
        <w:rPr>
          <w:sz w:val="20"/>
          <w:szCs w:val="20"/>
        </w:rPr>
        <w:t>.  International graduate students may disregard</w:t>
      </w:r>
      <w:r>
        <w:rPr>
          <w:sz w:val="20"/>
          <w:szCs w:val="20"/>
        </w:rPr>
        <w:t xml:space="preserve"> the remainder of this document</w:t>
      </w:r>
      <w:r w:rsidRPr="00BE67FE">
        <w:rPr>
          <w:sz w:val="20"/>
          <w:szCs w:val="20"/>
        </w:rPr>
        <w:t>.</w:t>
      </w:r>
    </w:p>
    <w:p w:rsidR="00D8608C" w:rsidRPr="00711101" w:rsidRDefault="00CD716A" w:rsidP="00BE67FE">
      <w:pPr>
        <w:pStyle w:val="ListParagraph"/>
        <w:ind w:left="360" w:right="360"/>
        <w:rPr>
          <w:sz w:val="20"/>
          <w:szCs w:val="20"/>
        </w:rPr>
      </w:pPr>
      <w:r>
        <w:rPr>
          <w:b/>
          <w:sz w:val="20"/>
          <w:szCs w:val="20"/>
        </w:rPr>
        <w:t xml:space="preserve">To retain </w:t>
      </w:r>
      <w:r w:rsidR="006D2564" w:rsidRPr="00711101">
        <w:rPr>
          <w:b/>
          <w:sz w:val="20"/>
          <w:szCs w:val="20"/>
        </w:rPr>
        <w:t>FICA-exemption</w:t>
      </w:r>
      <w:r w:rsidR="00340C18">
        <w:rPr>
          <w:sz w:val="20"/>
          <w:szCs w:val="20"/>
        </w:rPr>
        <w:t xml:space="preserve"> during </w:t>
      </w:r>
      <w:r w:rsidR="009201FD">
        <w:rPr>
          <w:sz w:val="20"/>
          <w:szCs w:val="20"/>
        </w:rPr>
        <w:t xml:space="preserve">Summer </w:t>
      </w:r>
      <w:r w:rsidR="009201FD" w:rsidRPr="002A5019">
        <w:rPr>
          <w:sz w:val="20"/>
          <w:szCs w:val="20"/>
        </w:rPr>
        <w:t>201</w:t>
      </w:r>
      <w:r w:rsidR="00E05D93">
        <w:rPr>
          <w:sz w:val="20"/>
          <w:szCs w:val="20"/>
        </w:rPr>
        <w:t>5</w:t>
      </w:r>
      <w:r w:rsidR="00F10298" w:rsidRPr="002A5019">
        <w:rPr>
          <w:sz w:val="20"/>
          <w:szCs w:val="20"/>
        </w:rPr>
        <w:t>,</w:t>
      </w:r>
      <w:r w:rsidR="00F10298" w:rsidRPr="00711101">
        <w:rPr>
          <w:sz w:val="20"/>
          <w:szCs w:val="20"/>
        </w:rPr>
        <w:t xml:space="preserve"> </w:t>
      </w:r>
      <w:r w:rsidR="00D70458" w:rsidRPr="00711101">
        <w:rPr>
          <w:sz w:val="20"/>
          <w:szCs w:val="20"/>
        </w:rPr>
        <w:t xml:space="preserve">domestic </w:t>
      </w:r>
      <w:r w:rsidR="00317353">
        <w:rPr>
          <w:sz w:val="20"/>
          <w:szCs w:val="20"/>
        </w:rPr>
        <w:t>Graduate A</w:t>
      </w:r>
      <w:r w:rsidR="005F74A6" w:rsidRPr="00711101">
        <w:rPr>
          <w:sz w:val="20"/>
          <w:szCs w:val="20"/>
        </w:rPr>
        <w:t>ssistants</w:t>
      </w:r>
      <w:r w:rsidR="006D2564" w:rsidRPr="00711101">
        <w:rPr>
          <w:sz w:val="20"/>
          <w:szCs w:val="20"/>
        </w:rPr>
        <w:t xml:space="preserve"> </w:t>
      </w:r>
      <w:r w:rsidR="00317353">
        <w:rPr>
          <w:sz w:val="20"/>
          <w:szCs w:val="20"/>
        </w:rPr>
        <w:t xml:space="preserve">(GAs) </w:t>
      </w:r>
      <w:r w:rsidR="006D2564" w:rsidRPr="00711101">
        <w:rPr>
          <w:sz w:val="20"/>
          <w:szCs w:val="20"/>
        </w:rPr>
        <w:t xml:space="preserve">must be </w:t>
      </w:r>
      <w:r w:rsidR="00F10298" w:rsidRPr="00711101">
        <w:rPr>
          <w:sz w:val="20"/>
          <w:szCs w:val="20"/>
        </w:rPr>
        <w:t>registered for at least three (3</w:t>
      </w:r>
      <w:r w:rsidR="006D2564" w:rsidRPr="00711101">
        <w:rPr>
          <w:sz w:val="20"/>
          <w:szCs w:val="20"/>
        </w:rPr>
        <w:t xml:space="preserve">) credits </w:t>
      </w:r>
      <w:r w:rsidR="00340C18">
        <w:rPr>
          <w:sz w:val="20"/>
          <w:szCs w:val="20"/>
        </w:rPr>
        <w:t>at all times</w:t>
      </w:r>
      <w:r w:rsidR="006D2564" w:rsidRPr="00711101">
        <w:rPr>
          <w:sz w:val="20"/>
          <w:szCs w:val="20"/>
        </w:rPr>
        <w:t xml:space="preserve">.  </w:t>
      </w:r>
      <w:r w:rsidR="00917DCC">
        <w:rPr>
          <w:sz w:val="20"/>
          <w:szCs w:val="20"/>
        </w:rPr>
        <w:t>In addition to GRAD 603, students</w:t>
      </w:r>
      <w:r w:rsidR="00317353">
        <w:rPr>
          <w:sz w:val="20"/>
          <w:szCs w:val="20"/>
        </w:rPr>
        <w:t xml:space="preserve"> must also</w:t>
      </w:r>
      <w:r w:rsidR="00CB1FAF" w:rsidRPr="00711101">
        <w:rPr>
          <w:sz w:val="20"/>
          <w:szCs w:val="20"/>
        </w:rPr>
        <w:t xml:space="preserve"> register for the appropriate</w:t>
      </w:r>
      <w:r w:rsidR="006D2564" w:rsidRPr="00711101">
        <w:rPr>
          <w:sz w:val="20"/>
          <w:szCs w:val="20"/>
        </w:rPr>
        <w:t xml:space="preserve"> research course</w:t>
      </w:r>
      <w:r w:rsidR="00917DCC">
        <w:rPr>
          <w:sz w:val="20"/>
          <w:szCs w:val="20"/>
        </w:rPr>
        <w:t xml:space="preserve">.  </w:t>
      </w:r>
      <w:r w:rsidR="00CB1FAF" w:rsidRPr="00711101">
        <w:rPr>
          <w:sz w:val="20"/>
          <w:szCs w:val="20"/>
        </w:rPr>
        <w:t xml:space="preserve">Additionally, </w:t>
      </w:r>
      <w:r w:rsidR="00241FD6" w:rsidRPr="00241FD6">
        <w:rPr>
          <w:sz w:val="20"/>
          <w:szCs w:val="20"/>
          <w:u w:val="single"/>
        </w:rPr>
        <w:t xml:space="preserve">Ph.D. students who have reached candidacy </w:t>
      </w:r>
      <w:r w:rsidR="00917DCC">
        <w:rPr>
          <w:sz w:val="20"/>
          <w:szCs w:val="20"/>
          <w:u w:val="single"/>
        </w:rPr>
        <w:t xml:space="preserve">are allowed </w:t>
      </w:r>
      <w:r w:rsidR="00CB1FAF" w:rsidRPr="00241FD6">
        <w:rPr>
          <w:sz w:val="20"/>
          <w:szCs w:val="20"/>
          <w:u w:val="single"/>
        </w:rPr>
        <w:t xml:space="preserve">to register for either </w:t>
      </w:r>
      <w:r w:rsidR="00D54CB1">
        <w:rPr>
          <w:sz w:val="20"/>
          <w:szCs w:val="20"/>
          <w:u w:val="single"/>
        </w:rPr>
        <w:t>898 or 899</w:t>
      </w:r>
      <w:r w:rsidR="00C85DBB">
        <w:rPr>
          <w:sz w:val="20"/>
          <w:szCs w:val="20"/>
          <w:u w:val="single"/>
        </w:rPr>
        <w:t xml:space="preserve"> during Summer </w:t>
      </w:r>
      <w:r w:rsidR="00C85DBB" w:rsidRPr="002A5019">
        <w:rPr>
          <w:sz w:val="20"/>
          <w:szCs w:val="20"/>
          <w:u w:val="single"/>
        </w:rPr>
        <w:t>201</w:t>
      </w:r>
      <w:r w:rsidR="00E05D93">
        <w:rPr>
          <w:sz w:val="20"/>
          <w:szCs w:val="20"/>
          <w:u w:val="single"/>
        </w:rPr>
        <w:t>5</w:t>
      </w:r>
      <w:r w:rsidR="001E13C3" w:rsidRPr="00711101">
        <w:rPr>
          <w:sz w:val="20"/>
          <w:szCs w:val="20"/>
        </w:rPr>
        <w:t>.</w:t>
      </w:r>
      <w:r w:rsidR="00F10298" w:rsidRPr="00711101">
        <w:rPr>
          <w:sz w:val="20"/>
          <w:szCs w:val="20"/>
        </w:rPr>
        <w:t xml:space="preserve">  The following table summarizes the registration options and their associated co</w:t>
      </w:r>
      <w:r w:rsidR="00D8608C" w:rsidRPr="00711101">
        <w:rPr>
          <w:sz w:val="20"/>
          <w:szCs w:val="20"/>
        </w:rPr>
        <w:t>sts</w:t>
      </w:r>
      <w:r w:rsidR="00E07550" w:rsidRPr="00711101">
        <w:rPr>
          <w:sz w:val="20"/>
          <w:szCs w:val="20"/>
          <w:vertAlign w:val="superscript"/>
        </w:rPr>
        <w:t>1</w:t>
      </w:r>
      <w:r w:rsidR="00D8608C" w:rsidRPr="00711101">
        <w:rPr>
          <w:sz w:val="20"/>
          <w:szCs w:val="20"/>
        </w:rPr>
        <w:t xml:space="preserve"> to remain exempt from</w:t>
      </w:r>
      <w:r w:rsidR="00F10298" w:rsidRPr="00711101">
        <w:rPr>
          <w:sz w:val="20"/>
          <w:szCs w:val="20"/>
        </w:rPr>
        <w:t xml:space="preserve"> FICA.</w:t>
      </w:r>
      <w:r w:rsidR="00917DCC">
        <w:rPr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1596"/>
        <w:gridCol w:w="1596"/>
        <w:gridCol w:w="1596"/>
        <w:gridCol w:w="1596"/>
        <w:gridCol w:w="1596"/>
      </w:tblGrid>
      <w:tr w:rsidR="006D2564" w:rsidRPr="009517B5" w:rsidTr="009517B5">
        <w:trPr>
          <w:jc w:val="center"/>
        </w:trPr>
        <w:tc>
          <w:tcPr>
            <w:tcW w:w="1938" w:type="dxa"/>
            <w:vAlign w:val="center"/>
          </w:tcPr>
          <w:p w:rsidR="006D2564" w:rsidRPr="009517B5" w:rsidRDefault="00CB1FAF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17B5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596" w:type="dxa"/>
            <w:vAlign w:val="center"/>
          </w:tcPr>
          <w:p w:rsidR="006D2564" w:rsidRPr="009517B5" w:rsidRDefault="00CB1FAF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17B5">
              <w:rPr>
                <w:b/>
                <w:sz w:val="20"/>
                <w:szCs w:val="20"/>
              </w:rPr>
              <w:t>Minimum Registration</w:t>
            </w:r>
          </w:p>
        </w:tc>
        <w:tc>
          <w:tcPr>
            <w:tcW w:w="1596" w:type="dxa"/>
            <w:vAlign w:val="center"/>
          </w:tcPr>
          <w:p w:rsidR="006D2564" w:rsidRPr="002A5019" w:rsidRDefault="00CB1FAF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5019">
              <w:rPr>
                <w:b/>
                <w:sz w:val="20"/>
                <w:szCs w:val="20"/>
              </w:rPr>
              <w:t>Tuition</w:t>
            </w:r>
          </w:p>
        </w:tc>
        <w:tc>
          <w:tcPr>
            <w:tcW w:w="1596" w:type="dxa"/>
            <w:vAlign w:val="center"/>
          </w:tcPr>
          <w:p w:rsidR="006D2564" w:rsidRPr="002A5019" w:rsidRDefault="00CB1FAF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5019">
              <w:rPr>
                <w:b/>
                <w:sz w:val="20"/>
                <w:szCs w:val="20"/>
              </w:rPr>
              <w:t>Summer Session Fee</w:t>
            </w:r>
          </w:p>
        </w:tc>
        <w:tc>
          <w:tcPr>
            <w:tcW w:w="1596" w:type="dxa"/>
            <w:vAlign w:val="center"/>
          </w:tcPr>
          <w:p w:rsidR="006D2564" w:rsidRPr="002A5019" w:rsidRDefault="00CB1FAF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5019">
              <w:rPr>
                <w:b/>
                <w:sz w:val="20"/>
                <w:szCs w:val="20"/>
              </w:rPr>
              <w:t>Auxiliary Facilities Fee</w:t>
            </w:r>
          </w:p>
        </w:tc>
        <w:tc>
          <w:tcPr>
            <w:tcW w:w="1596" w:type="dxa"/>
            <w:vAlign w:val="center"/>
          </w:tcPr>
          <w:p w:rsidR="006D2564" w:rsidRPr="002A5019" w:rsidRDefault="00CB1FAF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5019">
              <w:rPr>
                <w:b/>
                <w:sz w:val="20"/>
                <w:szCs w:val="20"/>
              </w:rPr>
              <w:t>Total</w:t>
            </w:r>
          </w:p>
        </w:tc>
      </w:tr>
      <w:tr w:rsidR="006D2564" w:rsidRPr="009517B5" w:rsidTr="009517B5">
        <w:trPr>
          <w:jc w:val="center"/>
        </w:trPr>
        <w:tc>
          <w:tcPr>
            <w:tcW w:w="1938" w:type="dxa"/>
          </w:tcPr>
          <w:p w:rsidR="006D2564" w:rsidRPr="009517B5" w:rsidRDefault="00AB6EE7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9517B5">
              <w:rPr>
                <w:sz w:val="20"/>
                <w:szCs w:val="20"/>
              </w:rPr>
              <w:t>Independent Study</w:t>
            </w:r>
          </w:p>
        </w:tc>
        <w:tc>
          <w:tcPr>
            <w:tcW w:w="1596" w:type="dxa"/>
            <w:vAlign w:val="center"/>
          </w:tcPr>
          <w:p w:rsidR="006D2564" w:rsidRPr="009517B5" w:rsidRDefault="00AB6EE7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7B5">
              <w:rPr>
                <w:sz w:val="20"/>
                <w:szCs w:val="20"/>
              </w:rPr>
              <w:t>1 credit</w:t>
            </w:r>
          </w:p>
        </w:tc>
        <w:tc>
          <w:tcPr>
            <w:tcW w:w="1596" w:type="dxa"/>
            <w:vAlign w:val="center"/>
          </w:tcPr>
          <w:p w:rsidR="006D2564" w:rsidRPr="00FB1BF6" w:rsidRDefault="00AB6EE7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</w:t>
            </w:r>
            <w:r w:rsidR="009662F5" w:rsidRPr="00FB1BF6">
              <w:rPr>
                <w:sz w:val="20"/>
                <w:szCs w:val="20"/>
              </w:rPr>
              <w:t>5</w:t>
            </w:r>
            <w:r w:rsidR="00DA5E4B">
              <w:rPr>
                <w:sz w:val="20"/>
                <w:szCs w:val="20"/>
              </w:rPr>
              <w:t>85</w:t>
            </w:r>
          </w:p>
        </w:tc>
        <w:tc>
          <w:tcPr>
            <w:tcW w:w="1596" w:type="dxa"/>
            <w:vAlign w:val="center"/>
          </w:tcPr>
          <w:p w:rsidR="006D2564" w:rsidRPr="00FB1BF6" w:rsidRDefault="00AB6EE7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$20</w:t>
            </w:r>
          </w:p>
        </w:tc>
        <w:tc>
          <w:tcPr>
            <w:tcW w:w="1596" w:type="dxa"/>
            <w:vAlign w:val="center"/>
          </w:tcPr>
          <w:p w:rsidR="006D2564" w:rsidRPr="00FB1BF6" w:rsidRDefault="00731191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$2</w:t>
            </w:r>
            <w:r w:rsidR="00DA5E4B"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  <w:vAlign w:val="center"/>
          </w:tcPr>
          <w:p w:rsidR="006D2564" w:rsidRPr="00FB1BF6" w:rsidRDefault="00DA5E4B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$628</w:t>
            </w:r>
          </w:p>
        </w:tc>
      </w:tr>
      <w:tr w:rsidR="005F74A6" w:rsidRPr="009517B5" w:rsidTr="009517B5">
        <w:trPr>
          <w:jc w:val="center"/>
        </w:trPr>
        <w:tc>
          <w:tcPr>
            <w:tcW w:w="1938" w:type="dxa"/>
          </w:tcPr>
          <w:p w:rsidR="005F74A6" w:rsidRPr="009517B5" w:rsidRDefault="005F74A6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9517B5">
              <w:rPr>
                <w:sz w:val="20"/>
                <w:szCs w:val="20"/>
              </w:rPr>
              <w:t>799 – Master’s Thesis Research</w:t>
            </w:r>
          </w:p>
        </w:tc>
        <w:tc>
          <w:tcPr>
            <w:tcW w:w="1596" w:type="dxa"/>
            <w:vAlign w:val="center"/>
          </w:tcPr>
          <w:p w:rsidR="005F74A6" w:rsidRPr="009517B5" w:rsidRDefault="00261D04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7B5">
              <w:rPr>
                <w:sz w:val="20"/>
                <w:szCs w:val="20"/>
              </w:rPr>
              <w:t>2 c</w:t>
            </w:r>
            <w:r w:rsidR="005F74A6" w:rsidRPr="009517B5">
              <w:rPr>
                <w:sz w:val="20"/>
                <w:szCs w:val="20"/>
              </w:rPr>
              <w:t>redits</w:t>
            </w:r>
          </w:p>
        </w:tc>
        <w:tc>
          <w:tcPr>
            <w:tcW w:w="1596" w:type="dxa"/>
            <w:vAlign w:val="center"/>
          </w:tcPr>
          <w:p w:rsidR="005F74A6" w:rsidRPr="00FB1BF6" w:rsidRDefault="005F74A6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</w:t>
            </w:r>
            <w:r w:rsidR="009662F5" w:rsidRPr="00FB1BF6">
              <w:rPr>
                <w:sz w:val="20"/>
                <w:szCs w:val="20"/>
              </w:rPr>
              <w:t>5</w:t>
            </w:r>
            <w:r w:rsidR="00DA5E4B">
              <w:rPr>
                <w:sz w:val="20"/>
                <w:szCs w:val="20"/>
              </w:rPr>
              <w:t>85</w:t>
            </w:r>
          </w:p>
        </w:tc>
        <w:tc>
          <w:tcPr>
            <w:tcW w:w="1596" w:type="dxa"/>
            <w:vAlign w:val="center"/>
          </w:tcPr>
          <w:p w:rsidR="005F74A6" w:rsidRPr="00FB1BF6" w:rsidRDefault="005F74A6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$20</w:t>
            </w:r>
          </w:p>
        </w:tc>
        <w:tc>
          <w:tcPr>
            <w:tcW w:w="1596" w:type="dxa"/>
            <w:vAlign w:val="center"/>
          </w:tcPr>
          <w:p w:rsidR="005F74A6" w:rsidRPr="00FB1BF6" w:rsidRDefault="00731191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$2</w:t>
            </w:r>
            <w:r w:rsidR="00DA5E4B"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  <w:vAlign w:val="center"/>
          </w:tcPr>
          <w:p w:rsidR="005F74A6" w:rsidRPr="00FB1BF6" w:rsidRDefault="00731191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</w:t>
            </w:r>
            <w:r w:rsidR="00DA5E4B">
              <w:rPr>
                <w:sz w:val="20"/>
                <w:szCs w:val="20"/>
              </w:rPr>
              <w:t>628</w:t>
            </w:r>
          </w:p>
        </w:tc>
      </w:tr>
      <w:tr w:rsidR="005F74A6" w:rsidRPr="009517B5" w:rsidTr="009517B5">
        <w:trPr>
          <w:jc w:val="center"/>
        </w:trPr>
        <w:tc>
          <w:tcPr>
            <w:tcW w:w="1938" w:type="dxa"/>
          </w:tcPr>
          <w:p w:rsidR="005F74A6" w:rsidRPr="009517B5" w:rsidRDefault="005F74A6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9517B5">
              <w:rPr>
                <w:sz w:val="20"/>
                <w:szCs w:val="20"/>
              </w:rPr>
              <w:t>898 – Doctoral Pre-Candidacy Research</w:t>
            </w:r>
          </w:p>
        </w:tc>
        <w:tc>
          <w:tcPr>
            <w:tcW w:w="1596" w:type="dxa"/>
            <w:vAlign w:val="center"/>
          </w:tcPr>
          <w:p w:rsidR="005F74A6" w:rsidRPr="009517B5" w:rsidRDefault="00261D04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7B5">
              <w:rPr>
                <w:sz w:val="20"/>
                <w:szCs w:val="20"/>
              </w:rPr>
              <w:t>3 c</w:t>
            </w:r>
            <w:r w:rsidR="005F74A6" w:rsidRPr="009517B5">
              <w:rPr>
                <w:sz w:val="20"/>
                <w:szCs w:val="20"/>
              </w:rPr>
              <w:t>redits</w:t>
            </w:r>
          </w:p>
        </w:tc>
        <w:tc>
          <w:tcPr>
            <w:tcW w:w="1596" w:type="dxa"/>
            <w:vAlign w:val="center"/>
          </w:tcPr>
          <w:p w:rsidR="005F74A6" w:rsidRPr="00FB1BF6" w:rsidRDefault="00731191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</w:t>
            </w:r>
            <w:r w:rsidR="009662F5" w:rsidRPr="00FB1BF6">
              <w:rPr>
                <w:sz w:val="20"/>
                <w:szCs w:val="20"/>
              </w:rPr>
              <w:t>5</w:t>
            </w:r>
            <w:r w:rsidR="00DA5E4B">
              <w:rPr>
                <w:sz w:val="20"/>
                <w:szCs w:val="20"/>
              </w:rPr>
              <w:t>85</w:t>
            </w:r>
          </w:p>
        </w:tc>
        <w:tc>
          <w:tcPr>
            <w:tcW w:w="1596" w:type="dxa"/>
            <w:vAlign w:val="center"/>
          </w:tcPr>
          <w:p w:rsidR="005F74A6" w:rsidRPr="00FB1BF6" w:rsidRDefault="005F74A6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$20</w:t>
            </w:r>
          </w:p>
        </w:tc>
        <w:tc>
          <w:tcPr>
            <w:tcW w:w="1596" w:type="dxa"/>
            <w:vAlign w:val="center"/>
          </w:tcPr>
          <w:p w:rsidR="005F74A6" w:rsidRPr="00FB1BF6" w:rsidRDefault="00731191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$2</w:t>
            </w:r>
            <w:r w:rsidR="00DA5E4B"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  <w:vAlign w:val="center"/>
          </w:tcPr>
          <w:p w:rsidR="005F74A6" w:rsidRPr="00FB1BF6" w:rsidRDefault="00DA5E4B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$628</w:t>
            </w:r>
          </w:p>
        </w:tc>
      </w:tr>
      <w:tr w:rsidR="005F74A6" w:rsidRPr="009517B5" w:rsidTr="009517B5">
        <w:trPr>
          <w:jc w:val="center"/>
        </w:trPr>
        <w:tc>
          <w:tcPr>
            <w:tcW w:w="1938" w:type="dxa"/>
          </w:tcPr>
          <w:p w:rsidR="005F74A6" w:rsidRPr="009517B5" w:rsidRDefault="005F74A6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9517B5">
              <w:rPr>
                <w:sz w:val="20"/>
                <w:szCs w:val="20"/>
              </w:rPr>
              <w:t>899 – Doctoral Candidacy Research</w:t>
            </w:r>
          </w:p>
        </w:tc>
        <w:tc>
          <w:tcPr>
            <w:tcW w:w="1596" w:type="dxa"/>
            <w:vAlign w:val="center"/>
          </w:tcPr>
          <w:p w:rsidR="005F74A6" w:rsidRPr="009517B5" w:rsidRDefault="00261D04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17B5">
              <w:rPr>
                <w:sz w:val="20"/>
                <w:szCs w:val="20"/>
              </w:rPr>
              <w:t>9 c</w:t>
            </w:r>
            <w:r w:rsidR="005F74A6" w:rsidRPr="009517B5">
              <w:rPr>
                <w:sz w:val="20"/>
                <w:szCs w:val="20"/>
              </w:rPr>
              <w:t>redits</w:t>
            </w:r>
          </w:p>
        </w:tc>
        <w:tc>
          <w:tcPr>
            <w:tcW w:w="1596" w:type="dxa"/>
            <w:vAlign w:val="center"/>
          </w:tcPr>
          <w:p w:rsidR="005F74A6" w:rsidRPr="00FB1BF6" w:rsidRDefault="00731191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</w:t>
            </w:r>
            <w:r w:rsidR="009662F5" w:rsidRPr="00FB1BF6">
              <w:rPr>
                <w:sz w:val="20"/>
                <w:szCs w:val="20"/>
              </w:rPr>
              <w:t>1</w:t>
            </w:r>
            <w:r w:rsidR="00DA5E4B">
              <w:rPr>
                <w:sz w:val="20"/>
                <w:szCs w:val="20"/>
              </w:rPr>
              <w:t>170</w:t>
            </w:r>
          </w:p>
        </w:tc>
        <w:tc>
          <w:tcPr>
            <w:tcW w:w="1596" w:type="dxa"/>
            <w:vAlign w:val="center"/>
          </w:tcPr>
          <w:p w:rsidR="005F74A6" w:rsidRPr="00FB1BF6" w:rsidRDefault="005F74A6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$20</w:t>
            </w:r>
          </w:p>
        </w:tc>
        <w:tc>
          <w:tcPr>
            <w:tcW w:w="1596" w:type="dxa"/>
            <w:vAlign w:val="center"/>
          </w:tcPr>
          <w:p w:rsidR="005F74A6" w:rsidRPr="00FB1BF6" w:rsidRDefault="00731191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$4</w:t>
            </w:r>
            <w:r w:rsidR="00DA5E4B"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  <w:vAlign w:val="center"/>
          </w:tcPr>
          <w:p w:rsidR="005F74A6" w:rsidRPr="00FB1BF6" w:rsidRDefault="00731191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$1,</w:t>
            </w:r>
            <w:r w:rsidR="00DA5E4B">
              <w:rPr>
                <w:sz w:val="20"/>
                <w:szCs w:val="20"/>
              </w:rPr>
              <w:t>236</w:t>
            </w:r>
          </w:p>
        </w:tc>
      </w:tr>
    </w:tbl>
    <w:p w:rsidR="00AB6EE7" w:rsidRPr="00711101" w:rsidRDefault="00AB6EE7" w:rsidP="00AB6EE7">
      <w:pPr>
        <w:pStyle w:val="ListParagraph"/>
        <w:rPr>
          <w:sz w:val="20"/>
          <w:szCs w:val="20"/>
        </w:rPr>
      </w:pPr>
    </w:p>
    <w:p w:rsidR="006D2564" w:rsidRPr="00711101" w:rsidRDefault="00AB6EE7" w:rsidP="00BE67FE">
      <w:pPr>
        <w:pStyle w:val="ListParagraph"/>
        <w:ind w:left="360" w:right="360"/>
        <w:rPr>
          <w:sz w:val="20"/>
          <w:szCs w:val="20"/>
        </w:rPr>
      </w:pPr>
      <w:r w:rsidRPr="00711101">
        <w:rPr>
          <w:b/>
          <w:sz w:val="20"/>
          <w:szCs w:val="20"/>
        </w:rPr>
        <w:t xml:space="preserve">If </w:t>
      </w:r>
      <w:r w:rsidR="00D70458" w:rsidRPr="00711101">
        <w:rPr>
          <w:b/>
          <w:sz w:val="20"/>
          <w:szCs w:val="20"/>
        </w:rPr>
        <w:t xml:space="preserve">domestic </w:t>
      </w:r>
      <w:r w:rsidR="00917DCC">
        <w:rPr>
          <w:b/>
          <w:sz w:val="20"/>
          <w:szCs w:val="20"/>
        </w:rPr>
        <w:t>Graduate A</w:t>
      </w:r>
      <w:r w:rsidRPr="00711101">
        <w:rPr>
          <w:b/>
          <w:sz w:val="20"/>
          <w:szCs w:val="20"/>
        </w:rPr>
        <w:t>ssistants</w:t>
      </w:r>
      <w:r w:rsidR="00BC468C" w:rsidRPr="00711101">
        <w:rPr>
          <w:b/>
          <w:sz w:val="20"/>
          <w:szCs w:val="20"/>
        </w:rPr>
        <w:t xml:space="preserve"> </w:t>
      </w:r>
      <w:r w:rsidR="00D8608C" w:rsidRPr="00711101">
        <w:rPr>
          <w:b/>
          <w:sz w:val="20"/>
          <w:szCs w:val="20"/>
        </w:rPr>
        <w:t>are not registered</w:t>
      </w:r>
      <w:r w:rsidR="00D8608C" w:rsidRPr="00711101">
        <w:rPr>
          <w:sz w:val="20"/>
          <w:szCs w:val="20"/>
        </w:rPr>
        <w:t xml:space="preserve"> for at </w:t>
      </w:r>
      <w:r w:rsidR="00F10298" w:rsidRPr="00711101">
        <w:rPr>
          <w:sz w:val="20"/>
          <w:szCs w:val="20"/>
        </w:rPr>
        <w:t xml:space="preserve">least three (3) credits </w:t>
      </w:r>
      <w:r w:rsidR="00241FD6">
        <w:rPr>
          <w:sz w:val="20"/>
          <w:szCs w:val="20"/>
        </w:rPr>
        <w:t>at all times during the</w:t>
      </w:r>
      <w:r w:rsidR="00D8608C" w:rsidRPr="00711101">
        <w:rPr>
          <w:sz w:val="20"/>
          <w:szCs w:val="20"/>
        </w:rPr>
        <w:t xml:space="preserve"> </w:t>
      </w:r>
      <w:r w:rsidR="004B5131" w:rsidRPr="00711101">
        <w:rPr>
          <w:sz w:val="20"/>
          <w:szCs w:val="20"/>
        </w:rPr>
        <w:t xml:space="preserve">summer, </w:t>
      </w:r>
      <w:r w:rsidR="00C37B41">
        <w:rPr>
          <w:sz w:val="20"/>
          <w:szCs w:val="20"/>
        </w:rPr>
        <w:t xml:space="preserve">the Graduate Assistant </w:t>
      </w:r>
      <w:r w:rsidR="00BC468C" w:rsidRPr="00711101">
        <w:rPr>
          <w:sz w:val="20"/>
          <w:szCs w:val="20"/>
        </w:rPr>
        <w:t>and the supporting department will</w:t>
      </w:r>
      <w:r w:rsidR="004B5131" w:rsidRPr="00711101">
        <w:rPr>
          <w:sz w:val="20"/>
          <w:szCs w:val="20"/>
        </w:rPr>
        <w:t xml:space="preserve"> each</w:t>
      </w:r>
      <w:r w:rsidR="00BC468C" w:rsidRPr="00711101">
        <w:rPr>
          <w:sz w:val="20"/>
          <w:szCs w:val="20"/>
        </w:rPr>
        <w:t xml:space="preserve"> pay 7.65% of the student’s gross pay each pay period</w:t>
      </w:r>
      <w:r w:rsidR="00F10298" w:rsidRPr="00711101">
        <w:rPr>
          <w:sz w:val="20"/>
          <w:szCs w:val="20"/>
        </w:rPr>
        <w:t xml:space="preserve"> as FICA</w:t>
      </w:r>
      <w:r w:rsidR="0033536E" w:rsidRPr="00711101">
        <w:rPr>
          <w:sz w:val="20"/>
          <w:szCs w:val="20"/>
        </w:rPr>
        <w:t xml:space="preserve">. </w:t>
      </w:r>
    </w:p>
    <w:p w:rsidR="00D8608C" w:rsidRPr="00711101" w:rsidRDefault="003B4FE7" w:rsidP="003B4FE7">
      <w:pPr>
        <w:pStyle w:val="ListParagraph"/>
        <w:tabs>
          <w:tab w:val="left" w:pos="525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8608C" w:rsidRPr="00711101" w:rsidRDefault="00CD716A" w:rsidP="00BE67FE">
      <w:pPr>
        <w:pStyle w:val="ListParagraph"/>
        <w:ind w:left="360" w:right="360"/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BC468C" w:rsidRPr="00711101">
        <w:rPr>
          <w:b/>
          <w:sz w:val="20"/>
          <w:szCs w:val="20"/>
        </w:rPr>
        <w:t>o be eligible to receive financial aid</w:t>
      </w:r>
      <w:r w:rsidR="00BC468C" w:rsidRPr="00711101">
        <w:rPr>
          <w:sz w:val="20"/>
          <w:szCs w:val="20"/>
        </w:rPr>
        <w:t xml:space="preserve"> dur</w:t>
      </w:r>
      <w:r w:rsidR="00AB6EE7" w:rsidRPr="00711101">
        <w:rPr>
          <w:sz w:val="20"/>
          <w:szCs w:val="20"/>
        </w:rPr>
        <w:t xml:space="preserve">ing the summer, </w:t>
      </w:r>
      <w:r w:rsidR="00D70458" w:rsidRPr="00711101">
        <w:rPr>
          <w:sz w:val="20"/>
          <w:szCs w:val="20"/>
        </w:rPr>
        <w:t xml:space="preserve">domestic </w:t>
      </w:r>
      <w:r w:rsidR="00632E3F">
        <w:rPr>
          <w:sz w:val="20"/>
          <w:szCs w:val="20"/>
        </w:rPr>
        <w:t>graduate students</w:t>
      </w:r>
      <w:r w:rsidR="00D8608C" w:rsidRPr="00711101">
        <w:rPr>
          <w:sz w:val="20"/>
          <w:szCs w:val="20"/>
        </w:rPr>
        <w:t xml:space="preserve"> must be registered</w:t>
      </w:r>
      <w:r w:rsidR="00AB6EE7" w:rsidRPr="00711101">
        <w:rPr>
          <w:sz w:val="20"/>
          <w:szCs w:val="20"/>
        </w:rPr>
        <w:t xml:space="preserve"> for at least six (6)</w:t>
      </w:r>
      <w:r w:rsidR="00F10298" w:rsidRPr="00711101">
        <w:rPr>
          <w:sz w:val="20"/>
          <w:szCs w:val="20"/>
        </w:rPr>
        <w:t xml:space="preserve"> </w:t>
      </w:r>
      <w:r w:rsidR="00AB6EE7" w:rsidRPr="00711101">
        <w:rPr>
          <w:sz w:val="20"/>
          <w:szCs w:val="20"/>
        </w:rPr>
        <w:t xml:space="preserve">total </w:t>
      </w:r>
      <w:r w:rsidR="00BC468C" w:rsidRPr="00711101">
        <w:rPr>
          <w:sz w:val="20"/>
          <w:szCs w:val="20"/>
        </w:rPr>
        <w:t xml:space="preserve">credits </w:t>
      </w:r>
      <w:r w:rsidR="00AB6EE7" w:rsidRPr="00711101">
        <w:rPr>
          <w:sz w:val="20"/>
          <w:szCs w:val="20"/>
        </w:rPr>
        <w:t xml:space="preserve">between both </w:t>
      </w:r>
      <w:r w:rsidR="00BC468C" w:rsidRPr="00711101">
        <w:rPr>
          <w:sz w:val="20"/>
          <w:szCs w:val="20"/>
        </w:rPr>
        <w:t xml:space="preserve">summer </w:t>
      </w:r>
      <w:r w:rsidR="00D54CB1">
        <w:rPr>
          <w:sz w:val="20"/>
          <w:szCs w:val="20"/>
        </w:rPr>
        <w:t>sessions [</w:t>
      </w:r>
      <w:r w:rsidR="00AB6EE7" w:rsidRPr="00711101">
        <w:rPr>
          <w:sz w:val="20"/>
          <w:szCs w:val="20"/>
        </w:rPr>
        <w:t>e.g., three (3) in session I and three (3) in session II</w:t>
      </w:r>
      <w:r w:rsidR="00D70458" w:rsidRPr="00711101">
        <w:rPr>
          <w:sz w:val="20"/>
          <w:szCs w:val="20"/>
        </w:rPr>
        <w:t xml:space="preserve"> </w:t>
      </w:r>
      <w:r w:rsidR="00241FD6">
        <w:rPr>
          <w:sz w:val="20"/>
          <w:szCs w:val="20"/>
          <w:u w:val="single"/>
        </w:rPr>
        <w:t>or</w:t>
      </w:r>
      <w:r w:rsidR="00D70458" w:rsidRPr="00711101">
        <w:rPr>
          <w:sz w:val="20"/>
          <w:szCs w:val="20"/>
        </w:rPr>
        <w:t xml:space="preserve"> six (6) credits in either session</w:t>
      </w:r>
      <w:r w:rsidR="00D54CB1">
        <w:rPr>
          <w:sz w:val="20"/>
          <w:szCs w:val="20"/>
        </w:rPr>
        <w:t>]</w:t>
      </w:r>
      <w:r w:rsidR="00AB6EE7" w:rsidRPr="00711101">
        <w:rPr>
          <w:sz w:val="20"/>
          <w:szCs w:val="20"/>
        </w:rPr>
        <w:t xml:space="preserve"> </w:t>
      </w:r>
      <w:r w:rsidR="00BC468C" w:rsidRPr="00B8192B">
        <w:rPr>
          <w:caps/>
          <w:sz w:val="20"/>
          <w:szCs w:val="20"/>
          <w:u w:val="single"/>
        </w:rPr>
        <w:t>that do not include the GA course</w:t>
      </w:r>
      <w:r w:rsidR="00C37B41" w:rsidRPr="00B8192B">
        <w:rPr>
          <w:caps/>
          <w:sz w:val="20"/>
          <w:szCs w:val="20"/>
          <w:u w:val="single"/>
        </w:rPr>
        <w:t>, GRAD 603</w:t>
      </w:r>
      <w:r w:rsidR="00BC468C" w:rsidRPr="00711101">
        <w:rPr>
          <w:sz w:val="20"/>
          <w:szCs w:val="20"/>
        </w:rPr>
        <w:t xml:space="preserve">.  </w:t>
      </w:r>
      <w:r w:rsidR="00D8608C" w:rsidRPr="00711101">
        <w:rPr>
          <w:sz w:val="20"/>
          <w:szCs w:val="20"/>
        </w:rPr>
        <w:t>The following table summarizes the registration options and their associated costs</w:t>
      </w:r>
      <w:r w:rsidR="00E07550" w:rsidRPr="00711101">
        <w:rPr>
          <w:sz w:val="20"/>
          <w:szCs w:val="20"/>
          <w:vertAlign w:val="superscript"/>
        </w:rPr>
        <w:t>1</w:t>
      </w:r>
      <w:r w:rsidR="00D8608C" w:rsidRPr="00711101">
        <w:rPr>
          <w:sz w:val="20"/>
          <w:szCs w:val="20"/>
        </w:rPr>
        <w:t xml:space="preserve"> to be eligible to receive financial aid.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1596"/>
        <w:gridCol w:w="1596"/>
        <w:gridCol w:w="1596"/>
        <w:gridCol w:w="1596"/>
        <w:gridCol w:w="1596"/>
      </w:tblGrid>
      <w:tr w:rsidR="00BC468C" w:rsidRPr="009517B5" w:rsidTr="009517B5">
        <w:trPr>
          <w:jc w:val="center"/>
        </w:trPr>
        <w:tc>
          <w:tcPr>
            <w:tcW w:w="1938" w:type="dxa"/>
            <w:vAlign w:val="center"/>
          </w:tcPr>
          <w:p w:rsidR="00BC468C" w:rsidRPr="009517B5" w:rsidRDefault="00BC468C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17B5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596" w:type="dxa"/>
            <w:vAlign w:val="center"/>
          </w:tcPr>
          <w:p w:rsidR="00BC468C" w:rsidRPr="009517B5" w:rsidRDefault="00BC468C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17B5">
              <w:rPr>
                <w:b/>
                <w:sz w:val="20"/>
                <w:szCs w:val="20"/>
              </w:rPr>
              <w:t>Minimum Registration</w:t>
            </w:r>
          </w:p>
        </w:tc>
        <w:tc>
          <w:tcPr>
            <w:tcW w:w="1596" w:type="dxa"/>
            <w:vAlign w:val="center"/>
          </w:tcPr>
          <w:p w:rsidR="00BC468C" w:rsidRPr="009517B5" w:rsidRDefault="00BC468C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5019">
              <w:rPr>
                <w:b/>
                <w:sz w:val="20"/>
                <w:szCs w:val="20"/>
              </w:rPr>
              <w:t>Tuition</w:t>
            </w:r>
          </w:p>
        </w:tc>
        <w:tc>
          <w:tcPr>
            <w:tcW w:w="1596" w:type="dxa"/>
            <w:vAlign w:val="center"/>
          </w:tcPr>
          <w:p w:rsidR="00BC468C" w:rsidRPr="009517B5" w:rsidRDefault="00BC468C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17B5">
              <w:rPr>
                <w:b/>
                <w:sz w:val="20"/>
                <w:szCs w:val="20"/>
              </w:rPr>
              <w:t>Summer Session Fee</w:t>
            </w:r>
          </w:p>
        </w:tc>
        <w:tc>
          <w:tcPr>
            <w:tcW w:w="1596" w:type="dxa"/>
            <w:vAlign w:val="center"/>
          </w:tcPr>
          <w:p w:rsidR="00BC468C" w:rsidRPr="002A5019" w:rsidRDefault="00BC468C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5019">
              <w:rPr>
                <w:b/>
                <w:sz w:val="20"/>
                <w:szCs w:val="20"/>
              </w:rPr>
              <w:t>Auxiliary Facilities Fee</w:t>
            </w:r>
          </w:p>
        </w:tc>
        <w:tc>
          <w:tcPr>
            <w:tcW w:w="1596" w:type="dxa"/>
            <w:vAlign w:val="center"/>
          </w:tcPr>
          <w:p w:rsidR="00BC468C" w:rsidRPr="002A5019" w:rsidRDefault="00BC468C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5019">
              <w:rPr>
                <w:b/>
                <w:sz w:val="20"/>
                <w:szCs w:val="20"/>
              </w:rPr>
              <w:t>Total</w:t>
            </w:r>
          </w:p>
        </w:tc>
      </w:tr>
      <w:tr w:rsidR="00BC468C" w:rsidRPr="009517B5" w:rsidTr="009517B5">
        <w:trPr>
          <w:jc w:val="center"/>
        </w:trPr>
        <w:tc>
          <w:tcPr>
            <w:tcW w:w="1938" w:type="dxa"/>
          </w:tcPr>
          <w:p w:rsidR="00BC468C" w:rsidRPr="009517B5" w:rsidRDefault="00BC468C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9517B5">
              <w:rPr>
                <w:sz w:val="20"/>
                <w:szCs w:val="20"/>
              </w:rPr>
              <w:t>Non-Research Graduate Classes</w:t>
            </w:r>
          </w:p>
        </w:tc>
        <w:tc>
          <w:tcPr>
            <w:tcW w:w="1596" w:type="dxa"/>
            <w:vAlign w:val="center"/>
          </w:tcPr>
          <w:p w:rsidR="00BC468C" w:rsidRPr="00FB1BF6" w:rsidRDefault="00BC468C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6 credits</w:t>
            </w:r>
          </w:p>
        </w:tc>
        <w:tc>
          <w:tcPr>
            <w:tcW w:w="1596" w:type="dxa"/>
            <w:vAlign w:val="center"/>
          </w:tcPr>
          <w:p w:rsidR="00BC468C" w:rsidRPr="00FB1BF6" w:rsidRDefault="00BC468C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</w:t>
            </w:r>
            <w:r w:rsidR="00485CA2">
              <w:rPr>
                <w:sz w:val="20"/>
                <w:szCs w:val="20"/>
              </w:rPr>
              <w:t>3,</w:t>
            </w:r>
            <w:r w:rsidR="00DA5E4B">
              <w:rPr>
                <w:sz w:val="20"/>
                <w:szCs w:val="20"/>
              </w:rPr>
              <w:t>570</w:t>
            </w:r>
          </w:p>
        </w:tc>
        <w:tc>
          <w:tcPr>
            <w:tcW w:w="1596" w:type="dxa"/>
            <w:vAlign w:val="center"/>
          </w:tcPr>
          <w:p w:rsidR="00BC468C" w:rsidRPr="00FB1BF6" w:rsidRDefault="0008495D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$2</w:t>
            </w:r>
            <w:r w:rsidR="00BC468C" w:rsidRPr="00FB1BF6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:rsidR="00BC468C" w:rsidRPr="00FB1BF6" w:rsidRDefault="00731191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$1</w:t>
            </w:r>
            <w:r w:rsidR="00DA5E4B">
              <w:rPr>
                <w:sz w:val="20"/>
                <w:szCs w:val="20"/>
              </w:rPr>
              <w:t>38</w:t>
            </w:r>
          </w:p>
        </w:tc>
        <w:tc>
          <w:tcPr>
            <w:tcW w:w="1596" w:type="dxa"/>
            <w:vAlign w:val="center"/>
          </w:tcPr>
          <w:p w:rsidR="00BC468C" w:rsidRPr="00FB1BF6" w:rsidRDefault="00731191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$3,</w:t>
            </w:r>
            <w:r w:rsidR="00DA5E4B">
              <w:rPr>
                <w:sz w:val="20"/>
                <w:szCs w:val="20"/>
              </w:rPr>
              <w:t>668</w:t>
            </w:r>
          </w:p>
        </w:tc>
      </w:tr>
      <w:tr w:rsidR="00BC468C" w:rsidRPr="009517B5" w:rsidTr="009517B5">
        <w:trPr>
          <w:jc w:val="center"/>
        </w:trPr>
        <w:tc>
          <w:tcPr>
            <w:tcW w:w="1938" w:type="dxa"/>
          </w:tcPr>
          <w:p w:rsidR="00BC468C" w:rsidRPr="009517B5" w:rsidRDefault="00BC468C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9517B5">
              <w:rPr>
                <w:sz w:val="20"/>
                <w:szCs w:val="20"/>
              </w:rPr>
              <w:t>799 – Master’s Thesis Research</w:t>
            </w:r>
          </w:p>
        </w:tc>
        <w:tc>
          <w:tcPr>
            <w:tcW w:w="1596" w:type="dxa"/>
            <w:vAlign w:val="center"/>
          </w:tcPr>
          <w:p w:rsidR="00BC468C" w:rsidRPr="00FB1BF6" w:rsidRDefault="00BC468C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6 credits</w:t>
            </w:r>
          </w:p>
        </w:tc>
        <w:tc>
          <w:tcPr>
            <w:tcW w:w="1596" w:type="dxa"/>
            <w:vAlign w:val="center"/>
          </w:tcPr>
          <w:p w:rsidR="00BC468C" w:rsidRPr="00FB1BF6" w:rsidRDefault="00BC468C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</w:t>
            </w:r>
            <w:r w:rsidR="001E7519" w:rsidRPr="00FB1BF6">
              <w:rPr>
                <w:sz w:val="20"/>
                <w:szCs w:val="20"/>
              </w:rPr>
              <w:t>1,</w:t>
            </w:r>
            <w:r w:rsidR="00DA5E4B">
              <w:rPr>
                <w:sz w:val="20"/>
                <w:szCs w:val="20"/>
              </w:rPr>
              <w:t>755</w:t>
            </w:r>
          </w:p>
        </w:tc>
        <w:tc>
          <w:tcPr>
            <w:tcW w:w="1596" w:type="dxa"/>
            <w:vAlign w:val="center"/>
          </w:tcPr>
          <w:p w:rsidR="00BC468C" w:rsidRPr="00FB1BF6" w:rsidRDefault="00BC468C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$20</w:t>
            </w:r>
          </w:p>
        </w:tc>
        <w:tc>
          <w:tcPr>
            <w:tcW w:w="1596" w:type="dxa"/>
            <w:vAlign w:val="center"/>
          </w:tcPr>
          <w:p w:rsidR="00BC468C" w:rsidRPr="00FB1BF6" w:rsidRDefault="00DA5E4B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$69</w:t>
            </w:r>
          </w:p>
        </w:tc>
        <w:tc>
          <w:tcPr>
            <w:tcW w:w="1596" w:type="dxa"/>
            <w:vAlign w:val="center"/>
          </w:tcPr>
          <w:p w:rsidR="00BC468C" w:rsidRPr="00FB1BF6" w:rsidRDefault="00731191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$1,</w:t>
            </w:r>
            <w:r w:rsidR="00DA5E4B">
              <w:rPr>
                <w:sz w:val="20"/>
                <w:szCs w:val="20"/>
              </w:rPr>
              <w:t>844</w:t>
            </w:r>
          </w:p>
        </w:tc>
      </w:tr>
      <w:tr w:rsidR="00BC468C" w:rsidRPr="009517B5" w:rsidTr="009517B5">
        <w:trPr>
          <w:jc w:val="center"/>
        </w:trPr>
        <w:tc>
          <w:tcPr>
            <w:tcW w:w="1938" w:type="dxa"/>
          </w:tcPr>
          <w:p w:rsidR="00BC468C" w:rsidRPr="009517B5" w:rsidRDefault="00BC468C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9517B5">
              <w:rPr>
                <w:sz w:val="20"/>
                <w:szCs w:val="20"/>
              </w:rPr>
              <w:t>898 – Doctoral Pre-Candidacy Research</w:t>
            </w:r>
          </w:p>
        </w:tc>
        <w:tc>
          <w:tcPr>
            <w:tcW w:w="1596" w:type="dxa"/>
            <w:vAlign w:val="center"/>
          </w:tcPr>
          <w:p w:rsidR="00BC468C" w:rsidRPr="00FB1BF6" w:rsidRDefault="00BC468C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6 credits</w:t>
            </w:r>
          </w:p>
        </w:tc>
        <w:tc>
          <w:tcPr>
            <w:tcW w:w="1596" w:type="dxa"/>
            <w:vAlign w:val="center"/>
          </w:tcPr>
          <w:p w:rsidR="00BC468C" w:rsidRPr="00FB1BF6" w:rsidRDefault="00BC468C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</w:t>
            </w:r>
            <w:r w:rsidR="009662F5" w:rsidRPr="00FB1BF6">
              <w:rPr>
                <w:sz w:val="20"/>
                <w:szCs w:val="20"/>
              </w:rPr>
              <w:t>1,</w:t>
            </w:r>
            <w:r w:rsidR="00DA5E4B">
              <w:rPr>
                <w:sz w:val="20"/>
                <w:szCs w:val="20"/>
              </w:rPr>
              <w:t>170</w:t>
            </w:r>
          </w:p>
        </w:tc>
        <w:tc>
          <w:tcPr>
            <w:tcW w:w="1596" w:type="dxa"/>
            <w:vAlign w:val="center"/>
          </w:tcPr>
          <w:p w:rsidR="00BC468C" w:rsidRPr="00FB1BF6" w:rsidRDefault="00BC468C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$20</w:t>
            </w:r>
          </w:p>
        </w:tc>
        <w:tc>
          <w:tcPr>
            <w:tcW w:w="1596" w:type="dxa"/>
            <w:vAlign w:val="center"/>
          </w:tcPr>
          <w:p w:rsidR="00BC468C" w:rsidRPr="00FB1BF6" w:rsidRDefault="00731191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$4</w:t>
            </w:r>
            <w:r w:rsidR="00DA5E4B"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  <w:vAlign w:val="center"/>
          </w:tcPr>
          <w:p w:rsidR="00BC468C" w:rsidRPr="00FB1BF6" w:rsidRDefault="00731191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$1</w:t>
            </w:r>
            <w:r w:rsidR="00DA5E4B">
              <w:rPr>
                <w:sz w:val="20"/>
                <w:szCs w:val="20"/>
              </w:rPr>
              <w:t>,236</w:t>
            </w:r>
          </w:p>
        </w:tc>
      </w:tr>
      <w:tr w:rsidR="001E13C3" w:rsidRPr="009517B5" w:rsidTr="009517B5">
        <w:trPr>
          <w:jc w:val="center"/>
        </w:trPr>
        <w:tc>
          <w:tcPr>
            <w:tcW w:w="1938" w:type="dxa"/>
          </w:tcPr>
          <w:p w:rsidR="001E13C3" w:rsidRPr="009517B5" w:rsidRDefault="001E13C3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9517B5">
              <w:rPr>
                <w:sz w:val="20"/>
                <w:szCs w:val="20"/>
              </w:rPr>
              <w:t>899 – Doctoral Candidacy Research</w:t>
            </w:r>
          </w:p>
        </w:tc>
        <w:tc>
          <w:tcPr>
            <w:tcW w:w="1596" w:type="dxa"/>
            <w:vAlign w:val="center"/>
          </w:tcPr>
          <w:p w:rsidR="001E13C3" w:rsidRPr="00FB1BF6" w:rsidRDefault="001E13C3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9 credits</w:t>
            </w:r>
          </w:p>
        </w:tc>
        <w:tc>
          <w:tcPr>
            <w:tcW w:w="1596" w:type="dxa"/>
            <w:vAlign w:val="center"/>
          </w:tcPr>
          <w:p w:rsidR="001E13C3" w:rsidRPr="00FB1BF6" w:rsidRDefault="001E13C3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</w:t>
            </w:r>
            <w:r w:rsidR="009662F5" w:rsidRPr="00FB1BF6">
              <w:rPr>
                <w:sz w:val="20"/>
                <w:szCs w:val="20"/>
              </w:rPr>
              <w:t>1,</w:t>
            </w:r>
            <w:r w:rsidR="00DA5E4B">
              <w:rPr>
                <w:sz w:val="20"/>
                <w:szCs w:val="20"/>
              </w:rPr>
              <w:t>170</w:t>
            </w:r>
          </w:p>
        </w:tc>
        <w:tc>
          <w:tcPr>
            <w:tcW w:w="1596" w:type="dxa"/>
            <w:vAlign w:val="center"/>
          </w:tcPr>
          <w:p w:rsidR="001E13C3" w:rsidRPr="00FB1BF6" w:rsidRDefault="001E13C3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$20</w:t>
            </w:r>
          </w:p>
        </w:tc>
        <w:tc>
          <w:tcPr>
            <w:tcW w:w="1596" w:type="dxa"/>
            <w:vAlign w:val="center"/>
          </w:tcPr>
          <w:p w:rsidR="001E13C3" w:rsidRPr="00FB1BF6" w:rsidRDefault="00731191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$4</w:t>
            </w:r>
            <w:r w:rsidR="00DA5E4B"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  <w:vAlign w:val="center"/>
          </w:tcPr>
          <w:p w:rsidR="001E13C3" w:rsidRPr="00FB1BF6" w:rsidRDefault="00731191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F6">
              <w:rPr>
                <w:sz w:val="20"/>
                <w:szCs w:val="20"/>
              </w:rPr>
              <w:t>$1,</w:t>
            </w:r>
            <w:r w:rsidR="00DA5E4B">
              <w:rPr>
                <w:sz w:val="20"/>
                <w:szCs w:val="20"/>
              </w:rPr>
              <w:t>236</w:t>
            </w:r>
            <w:bookmarkStart w:id="0" w:name="_GoBack"/>
            <w:bookmarkEnd w:id="0"/>
          </w:p>
        </w:tc>
      </w:tr>
    </w:tbl>
    <w:p w:rsidR="00BC468C" w:rsidRPr="00711101" w:rsidRDefault="00BC468C" w:rsidP="00927542">
      <w:pPr>
        <w:spacing w:after="0" w:line="240" w:lineRule="auto"/>
        <w:rPr>
          <w:sz w:val="20"/>
          <w:szCs w:val="20"/>
        </w:rPr>
      </w:pPr>
    </w:p>
    <w:p w:rsidR="000C4EDA" w:rsidRDefault="00D70458" w:rsidP="00BE67FE">
      <w:pPr>
        <w:pStyle w:val="ListParagraph"/>
        <w:spacing w:after="0" w:line="240" w:lineRule="auto"/>
        <w:ind w:left="360" w:right="360"/>
        <w:rPr>
          <w:sz w:val="20"/>
          <w:szCs w:val="20"/>
        </w:rPr>
      </w:pPr>
      <w:r w:rsidRPr="00711101">
        <w:rPr>
          <w:b/>
          <w:sz w:val="20"/>
          <w:szCs w:val="20"/>
        </w:rPr>
        <w:t>Questions?</w:t>
      </w:r>
      <w:r w:rsidRPr="00711101">
        <w:rPr>
          <w:sz w:val="20"/>
          <w:szCs w:val="20"/>
        </w:rPr>
        <w:t xml:space="preserve">  For general </w:t>
      </w:r>
      <w:r w:rsidR="009201FD">
        <w:rPr>
          <w:sz w:val="20"/>
          <w:szCs w:val="20"/>
        </w:rPr>
        <w:t xml:space="preserve">information about Summer </w:t>
      </w:r>
      <w:r w:rsidR="009201FD" w:rsidRPr="002A5019">
        <w:rPr>
          <w:sz w:val="20"/>
          <w:szCs w:val="20"/>
        </w:rPr>
        <w:t>201</w:t>
      </w:r>
      <w:r w:rsidR="00E05D93">
        <w:rPr>
          <w:sz w:val="20"/>
          <w:szCs w:val="20"/>
        </w:rPr>
        <w:t>5</w:t>
      </w:r>
      <w:r w:rsidR="00C81871" w:rsidRPr="00711101">
        <w:rPr>
          <w:sz w:val="20"/>
          <w:szCs w:val="20"/>
        </w:rPr>
        <w:t>, please visit th</w:t>
      </w:r>
      <w:r w:rsidR="00732E77">
        <w:rPr>
          <w:sz w:val="20"/>
          <w:szCs w:val="20"/>
        </w:rPr>
        <w:t>e Office of Summer, Winter, and</w:t>
      </w:r>
      <w:r w:rsidR="000C4EDA">
        <w:rPr>
          <w:sz w:val="20"/>
          <w:szCs w:val="20"/>
        </w:rPr>
        <w:t xml:space="preserve"> </w:t>
      </w:r>
      <w:r w:rsidR="00C81871" w:rsidRPr="000C4EDA">
        <w:rPr>
          <w:sz w:val="20"/>
          <w:szCs w:val="20"/>
        </w:rPr>
        <w:t>Special Programs at</w:t>
      </w:r>
      <w:r w:rsidRPr="000C4EDA">
        <w:rPr>
          <w:sz w:val="20"/>
          <w:szCs w:val="20"/>
        </w:rPr>
        <w:t xml:space="preserve"> </w:t>
      </w:r>
      <w:hyperlink r:id="rId8" w:history="1">
        <w:r w:rsidR="00C81871" w:rsidRPr="000C4EDA">
          <w:rPr>
            <w:rStyle w:val="Hyperlink"/>
            <w:sz w:val="20"/>
            <w:szCs w:val="20"/>
          </w:rPr>
          <w:t>www.umbc.edu/summer</w:t>
        </w:r>
      </w:hyperlink>
      <w:r w:rsidRPr="000C4EDA">
        <w:rPr>
          <w:sz w:val="20"/>
          <w:szCs w:val="20"/>
        </w:rPr>
        <w:t>.</w:t>
      </w:r>
    </w:p>
    <w:p w:rsidR="00917723" w:rsidRDefault="00C81871" w:rsidP="00BE67FE">
      <w:pPr>
        <w:pStyle w:val="ListParagraph"/>
        <w:spacing w:after="0" w:line="240" w:lineRule="auto"/>
        <w:ind w:left="360" w:right="360"/>
        <w:rPr>
          <w:sz w:val="20"/>
          <w:szCs w:val="20"/>
        </w:rPr>
      </w:pPr>
      <w:r w:rsidRPr="000C4EDA">
        <w:rPr>
          <w:sz w:val="20"/>
          <w:szCs w:val="20"/>
        </w:rPr>
        <w:t>For information about billing and</w:t>
      </w:r>
      <w:r w:rsidR="00732E77" w:rsidRPr="000C4EDA">
        <w:rPr>
          <w:sz w:val="20"/>
          <w:szCs w:val="20"/>
        </w:rPr>
        <w:t xml:space="preserve"> payments, please visit Student</w:t>
      </w:r>
      <w:r w:rsidR="000C4EDA">
        <w:rPr>
          <w:sz w:val="20"/>
          <w:szCs w:val="20"/>
        </w:rPr>
        <w:t xml:space="preserve"> </w:t>
      </w:r>
      <w:r w:rsidRPr="000C4EDA">
        <w:rPr>
          <w:sz w:val="20"/>
          <w:szCs w:val="20"/>
        </w:rPr>
        <w:t xml:space="preserve">Business Services at </w:t>
      </w:r>
      <w:hyperlink r:id="rId9" w:history="1">
        <w:r w:rsidRPr="000C4EDA">
          <w:rPr>
            <w:rStyle w:val="Hyperlink"/>
            <w:sz w:val="20"/>
            <w:szCs w:val="20"/>
          </w:rPr>
          <w:t>www.umbc.edu/sbs</w:t>
        </w:r>
      </w:hyperlink>
      <w:r w:rsidR="00D70458" w:rsidRPr="000C4EDA">
        <w:rPr>
          <w:sz w:val="20"/>
          <w:szCs w:val="20"/>
        </w:rPr>
        <w:t>.</w:t>
      </w:r>
    </w:p>
    <w:p w:rsidR="00917723" w:rsidRDefault="00C81871" w:rsidP="00BE67FE">
      <w:pPr>
        <w:pStyle w:val="ListParagraph"/>
        <w:spacing w:after="0" w:line="240" w:lineRule="auto"/>
        <w:ind w:left="360" w:right="360"/>
        <w:rPr>
          <w:sz w:val="20"/>
          <w:szCs w:val="20"/>
        </w:rPr>
      </w:pPr>
      <w:r w:rsidRPr="000C4EDA">
        <w:rPr>
          <w:sz w:val="20"/>
          <w:szCs w:val="20"/>
        </w:rPr>
        <w:t>For information about financial aid, please visit th</w:t>
      </w:r>
      <w:r w:rsidR="00732E77" w:rsidRPr="000C4EDA">
        <w:rPr>
          <w:sz w:val="20"/>
          <w:szCs w:val="20"/>
        </w:rPr>
        <w:t>e Office of Financial</w:t>
      </w:r>
      <w:r w:rsidR="000C4EDA">
        <w:rPr>
          <w:sz w:val="20"/>
          <w:szCs w:val="20"/>
        </w:rPr>
        <w:t xml:space="preserve"> </w:t>
      </w:r>
      <w:r w:rsidRPr="000C4EDA">
        <w:rPr>
          <w:sz w:val="20"/>
          <w:szCs w:val="20"/>
        </w:rPr>
        <w:t xml:space="preserve">Aid and Scholarships at </w:t>
      </w:r>
      <w:hyperlink r:id="rId10" w:history="1">
        <w:r w:rsidRPr="000C4EDA">
          <w:rPr>
            <w:rStyle w:val="Hyperlink"/>
            <w:sz w:val="20"/>
            <w:szCs w:val="20"/>
          </w:rPr>
          <w:t>www.umbc.edu/financialaid</w:t>
        </w:r>
      </w:hyperlink>
      <w:r w:rsidR="00D70458" w:rsidRPr="000C4EDA">
        <w:rPr>
          <w:sz w:val="20"/>
          <w:szCs w:val="20"/>
        </w:rPr>
        <w:t>.</w:t>
      </w:r>
      <w:r w:rsidRPr="000C4EDA">
        <w:rPr>
          <w:sz w:val="20"/>
          <w:szCs w:val="20"/>
        </w:rPr>
        <w:t xml:space="preserve">  For information on </w:t>
      </w:r>
      <w:r w:rsidR="00BF7106" w:rsidRPr="000C4EDA">
        <w:rPr>
          <w:sz w:val="20"/>
          <w:szCs w:val="20"/>
        </w:rPr>
        <w:t>registration,</w:t>
      </w:r>
      <w:r w:rsidR="00732E77" w:rsidRPr="000C4EDA">
        <w:rPr>
          <w:sz w:val="20"/>
          <w:szCs w:val="20"/>
        </w:rPr>
        <w:t xml:space="preserve"> please visit the Office of the</w:t>
      </w:r>
      <w:r w:rsidR="000C4EDA">
        <w:rPr>
          <w:sz w:val="20"/>
          <w:szCs w:val="20"/>
        </w:rPr>
        <w:t xml:space="preserve"> </w:t>
      </w:r>
      <w:r w:rsidR="00BF7106" w:rsidRPr="000C4EDA">
        <w:rPr>
          <w:sz w:val="20"/>
          <w:szCs w:val="20"/>
        </w:rPr>
        <w:t xml:space="preserve">Registrar at </w:t>
      </w:r>
      <w:hyperlink r:id="rId11" w:history="1">
        <w:r w:rsidR="00BF7106" w:rsidRPr="000C4EDA">
          <w:rPr>
            <w:rStyle w:val="Hyperlink"/>
            <w:sz w:val="20"/>
            <w:szCs w:val="20"/>
          </w:rPr>
          <w:t>www.umbc.edu/registrar</w:t>
        </w:r>
      </w:hyperlink>
      <w:r w:rsidR="00D70458" w:rsidRPr="000C4EDA">
        <w:rPr>
          <w:sz w:val="20"/>
          <w:szCs w:val="20"/>
        </w:rPr>
        <w:t>.</w:t>
      </w:r>
    </w:p>
    <w:p w:rsidR="00D70458" w:rsidRPr="000C4EDA" w:rsidRDefault="00BF7106" w:rsidP="00BE67FE">
      <w:pPr>
        <w:pStyle w:val="ListParagraph"/>
        <w:spacing w:after="0" w:line="240" w:lineRule="auto"/>
        <w:ind w:left="360" w:right="360"/>
        <w:rPr>
          <w:sz w:val="20"/>
          <w:szCs w:val="20"/>
        </w:rPr>
      </w:pPr>
      <w:r w:rsidRPr="000C4EDA">
        <w:rPr>
          <w:sz w:val="20"/>
          <w:szCs w:val="20"/>
        </w:rPr>
        <w:t>For information on the GA course or any oth</w:t>
      </w:r>
      <w:r w:rsidR="00732E77" w:rsidRPr="000C4EDA">
        <w:rPr>
          <w:sz w:val="20"/>
          <w:szCs w:val="20"/>
        </w:rPr>
        <w:t>er assistance, please visit the</w:t>
      </w:r>
      <w:r w:rsidR="000C4EDA">
        <w:rPr>
          <w:sz w:val="20"/>
          <w:szCs w:val="20"/>
        </w:rPr>
        <w:t xml:space="preserve"> </w:t>
      </w:r>
      <w:r w:rsidRPr="000C4EDA">
        <w:rPr>
          <w:sz w:val="20"/>
          <w:szCs w:val="20"/>
        </w:rPr>
        <w:t xml:space="preserve">Graduate School at </w:t>
      </w:r>
      <w:hyperlink r:id="rId12" w:history="1">
        <w:r w:rsidRPr="000C4EDA">
          <w:rPr>
            <w:rStyle w:val="Hyperlink"/>
            <w:sz w:val="20"/>
            <w:szCs w:val="20"/>
          </w:rPr>
          <w:t>www.umbc.edu/gradschool</w:t>
        </w:r>
      </w:hyperlink>
      <w:r w:rsidR="00D70458" w:rsidRPr="000C4EDA">
        <w:rPr>
          <w:sz w:val="20"/>
          <w:szCs w:val="20"/>
        </w:rPr>
        <w:t>.</w:t>
      </w:r>
      <w:r w:rsidRPr="000C4EDA">
        <w:rPr>
          <w:sz w:val="20"/>
          <w:szCs w:val="20"/>
        </w:rPr>
        <w:t xml:space="preserve">  </w:t>
      </w:r>
    </w:p>
    <w:p w:rsidR="00927542" w:rsidRPr="00927542" w:rsidRDefault="00927542" w:rsidP="00927542">
      <w:pPr>
        <w:pStyle w:val="ListParagraph"/>
        <w:spacing w:after="0" w:line="240" w:lineRule="auto"/>
        <w:rPr>
          <w:sz w:val="21"/>
          <w:szCs w:val="21"/>
        </w:rPr>
      </w:pPr>
    </w:p>
    <w:p w:rsidR="00E07550" w:rsidRPr="00E07550" w:rsidRDefault="00E07550">
      <w:pPr>
        <w:rPr>
          <w:sz w:val="16"/>
          <w:szCs w:val="16"/>
        </w:rPr>
      </w:pPr>
      <w:r w:rsidRPr="00E07550">
        <w:rPr>
          <w:sz w:val="21"/>
          <w:szCs w:val="21"/>
          <w:vertAlign w:val="superscript"/>
        </w:rPr>
        <w:t>1</w:t>
      </w:r>
      <w:r>
        <w:rPr>
          <w:sz w:val="21"/>
          <w:szCs w:val="21"/>
        </w:rPr>
        <w:t xml:space="preserve"> </w:t>
      </w:r>
      <w:r w:rsidR="00615450">
        <w:rPr>
          <w:sz w:val="16"/>
          <w:szCs w:val="16"/>
        </w:rPr>
        <w:t xml:space="preserve">These costs are based on </w:t>
      </w:r>
      <w:r w:rsidR="009201FD">
        <w:rPr>
          <w:sz w:val="16"/>
          <w:szCs w:val="16"/>
        </w:rPr>
        <w:t>the proposed Summer</w:t>
      </w:r>
      <w:r w:rsidR="00E05D93">
        <w:rPr>
          <w:sz w:val="16"/>
          <w:szCs w:val="16"/>
        </w:rPr>
        <w:t xml:space="preserve"> </w:t>
      </w:r>
      <w:r w:rsidR="000E18B8">
        <w:rPr>
          <w:sz w:val="16"/>
          <w:szCs w:val="16"/>
        </w:rPr>
        <w:t>201</w:t>
      </w:r>
      <w:r w:rsidR="00E05D93">
        <w:rPr>
          <w:sz w:val="16"/>
          <w:szCs w:val="16"/>
        </w:rPr>
        <w:t>5</w:t>
      </w:r>
      <w:r w:rsidR="00731191">
        <w:rPr>
          <w:sz w:val="16"/>
          <w:szCs w:val="16"/>
        </w:rPr>
        <w:t xml:space="preserve"> tuition and fee rates</w:t>
      </w:r>
      <w:r w:rsidR="00615450">
        <w:rPr>
          <w:sz w:val="16"/>
          <w:szCs w:val="16"/>
        </w:rPr>
        <w:t xml:space="preserve">.  </w:t>
      </w:r>
      <w:r w:rsidR="00731191">
        <w:rPr>
          <w:sz w:val="16"/>
          <w:szCs w:val="16"/>
        </w:rPr>
        <w:t xml:space="preserve">The General Assembly and the University System of Maryland Board of Regents will finalize or revise these proposed rates at a later date.  </w:t>
      </w:r>
      <w:r w:rsidR="00615450">
        <w:rPr>
          <w:sz w:val="16"/>
          <w:szCs w:val="16"/>
        </w:rPr>
        <w:t xml:space="preserve">Official tuition and fee rates for a given term are located at </w:t>
      </w:r>
      <w:hyperlink r:id="rId13" w:history="1">
        <w:r w:rsidR="00615450" w:rsidRPr="00615450">
          <w:rPr>
            <w:rStyle w:val="Hyperlink"/>
            <w:sz w:val="16"/>
            <w:szCs w:val="16"/>
          </w:rPr>
          <w:t>www.umbc.edu/sbs</w:t>
        </w:r>
      </w:hyperlink>
      <w:r w:rsidR="00615450">
        <w:rPr>
          <w:sz w:val="16"/>
          <w:szCs w:val="16"/>
        </w:rPr>
        <w:t xml:space="preserve">.  </w:t>
      </w:r>
    </w:p>
    <w:sectPr w:rsidR="00E07550" w:rsidRPr="00E07550" w:rsidSect="00D70458">
      <w:pgSz w:w="12240" w:h="15840"/>
      <w:pgMar w:top="1440" w:right="720" w:bottom="108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88" w:rsidRDefault="007E4988" w:rsidP="00B615B2">
      <w:pPr>
        <w:spacing w:after="0" w:line="240" w:lineRule="auto"/>
      </w:pPr>
      <w:r>
        <w:separator/>
      </w:r>
    </w:p>
  </w:endnote>
  <w:endnote w:type="continuationSeparator" w:id="0">
    <w:p w:rsidR="007E4988" w:rsidRDefault="007E4988" w:rsidP="00B6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88" w:rsidRDefault="007E4988" w:rsidP="00B615B2">
      <w:pPr>
        <w:spacing w:after="0" w:line="240" w:lineRule="auto"/>
      </w:pPr>
      <w:r>
        <w:separator/>
      </w:r>
    </w:p>
  </w:footnote>
  <w:footnote w:type="continuationSeparator" w:id="0">
    <w:p w:rsidR="007E4988" w:rsidRDefault="007E4988" w:rsidP="00B6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6489"/>
    <w:multiLevelType w:val="hybridMultilevel"/>
    <w:tmpl w:val="967C7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5A4"/>
    <w:multiLevelType w:val="hybridMultilevel"/>
    <w:tmpl w:val="DD1C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4BAF"/>
    <w:multiLevelType w:val="hybridMultilevel"/>
    <w:tmpl w:val="EDBE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366F9"/>
    <w:multiLevelType w:val="hybridMultilevel"/>
    <w:tmpl w:val="CCF8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97B67"/>
    <w:multiLevelType w:val="hybridMultilevel"/>
    <w:tmpl w:val="CCA20196"/>
    <w:lvl w:ilvl="0" w:tplc="16D8D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564"/>
    <w:rsid w:val="00021A67"/>
    <w:rsid w:val="000478F6"/>
    <w:rsid w:val="00052B0B"/>
    <w:rsid w:val="00076080"/>
    <w:rsid w:val="0008495D"/>
    <w:rsid w:val="00095A56"/>
    <w:rsid w:val="000C128C"/>
    <w:rsid w:val="000C4EDA"/>
    <w:rsid w:val="000C6871"/>
    <w:rsid w:val="000E18B8"/>
    <w:rsid w:val="0012583E"/>
    <w:rsid w:val="001726D4"/>
    <w:rsid w:val="001B0692"/>
    <w:rsid w:val="001E13C3"/>
    <w:rsid w:val="001E7519"/>
    <w:rsid w:val="00241FD6"/>
    <w:rsid w:val="002541D6"/>
    <w:rsid w:val="00261D04"/>
    <w:rsid w:val="002A5019"/>
    <w:rsid w:val="00317353"/>
    <w:rsid w:val="0033536E"/>
    <w:rsid w:val="00340C18"/>
    <w:rsid w:val="00362DF1"/>
    <w:rsid w:val="00365A28"/>
    <w:rsid w:val="003713E3"/>
    <w:rsid w:val="003820B9"/>
    <w:rsid w:val="003B4FE7"/>
    <w:rsid w:val="003F6479"/>
    <w:rsid w:val="00404E5A"/>
    <w:rsid w:val="0043696B"/>
    <w:rsid w:val="00447E5E"/>
    <w:rsid w:val="00450A84"/>
    <w:rsid w:val="00462ED5"/>
    <w:rsid w:val="00485CA2"/>
    <w:rsid w:val="004B5131"/>
    <w:rsid w:val="00556363"/>
    <w:rsid w:val="00556513"/>
    <w:rsid w:val="00561E1E"/>
    <w:rsid w:val="005C27CD"/>
    <w:rsid w:val="005C7334"/>
    <w:rsid w:val="005D648D"/>
    <w:rsid w:val="005F6F4B"/>
    <w:rsid w:val="005F74A6"/>
    <w:rsid w:val="00611C7C"/>
    <w:rsid w:val="00615450"/>
    <w:rsid w:val="00625553"/>
    <w:rsid w:val="00632E3F"/>
    <w:rsid w:val="00642FC4"/>
    <w:rsid w:val="00664D5F"/>
    <w:rsid w:val="0068050E"/>
    <w:rsid w:val="006D2564"/>
    <w:rsid w:val="007022B8"/>
    <w:rsid w:val="00711101"/>
    <w:rsid w:val="00731191"/>
    <w:rsid w:val="00732E77"/>
    <w:rsid w:val="007402E3"/>
    <w:rsid w:val="007A324A"/>
    <w:rsid w:val="007B555D"/>
    <w:rsid w:val="007E1D4D"/>
    <w:rsid w:val="007E4988"/>
    <w:rsid w:val="008350B3"/>
    <w:rsid w:val="00841D6E"/>
    <w:rsid w:val="009020A4"/>
    <w:rsid w:val="0091146A"/>
    <w:rsid w:val="00917723"/>
    <w:rsid w:val="00917DCC"/>
    <w:rsid w:val="009201FD"/>
    <w:rsid w:val="00925165"/>
    <w:rsid w:val="00927542"/>
    <w:rsid w:val="009517B5"/>
    <w:rsid w:val="009662F5"/>
    <w:rsid w:val="00971C2A"/>
    <w:rsid w:val="009D2362"/>
    <w:rsid w:val="009E2E74"/>
    <w:rsid w:val="009F4C99"/>
    <w:rsid w:val="00A0464C"/>
    <w:rsid w:val="00AB3C1A"/>
    <w:rsid w:val="00AB6EE7"/>
    <w:rsid w:val="00AD7445"/>
    <w:rsid w:val="00AF1127"/>
    <w:rsid w:val="00B30A17"/>
    <w:rsid w:val="00B32416"/>
    <w:rsid w:val="00B441B8"/>
    <w:rsid w:val="00B53143"/>
    <w:rsid w:val="00B615B2"/>
    <w:rsid w:val="00B77D9B"/>
    <w:rsid w:val="00B8136B"/>
    <w:rsid w:val="00B8192B"/>
    <w:rsid w:val="00BA6770"/>
    <w:rsid w:val="00BC468C"/>
    <w:rsid w:val="00BD5F50"/>
    <w:rsid w:val="00BE67FE"/>
    <w:rsid w:val="00BF7106"/>
    <w:rsid w:val="00C37B41"/>
    <w:rsid w:val="00C54634"/>
    <w:rsid w:val="00C6321A"/>
    <w:rsid w:val="00C81871"/>
    <w:rsid w:val="00C85DBB"/>
    <w:rsid w:val="00CB1FAF"/>
    <w:rsid w:val="00CB6A32"/>
    <w:rsid w:val="00CD716A"/>
    <w:rsid w:val="00D25BBB"/>
    <w:rsid w:val="00D54CB1"/>
    <w:rsid w:val="00D70458"/>
    <w:rsid w:val="00D8608C"/>
    <w:rsid w:val="00DA3268"/>
    <w:rsid w:val="00DA5E4B"/>
    <w:rsid w:val="00E05D93"/>
    <w:rsid w:val="00E07146"/>
    <w:rsid w:val="00E07550"/>
    <w:rsid w:val="00E32CC4"/>
    <w:rsid w:val="00E420BC"/>
    <w:rsid w:val="00E812E3"/>
    <w:rsid w:val="00F04E07"/>
    <w:rsid w:val="00F10298"/>
    <w:rsid w:val="00F37D27"/>
    <w:rsid w:val="00F847A9"/>
    <w:rsid w:val="00F91C1B"/>
    <w:rsid w:val="00F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4327362-1CE5-4096-A600-24418314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10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8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CB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5B2"/>
  </w:style>
  <w:style w:type="paragraph" w:styleId="Footer">
    <w:name w:val="footer"/>
    <w:basedOn w:val="Normal"/>
    <w:link w:val="FooterChar"/>
    <w:uiPriority w:val="99"/>
    <w:semiHidden/>
    <w:unhideWhenUsed/>
    <w:rsid w:val="00B6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c.edu/summer" TargetMode="External"/><Relationship Id="rId13" Type="http://schemas.openxmlformats.org/officeDocument/2006/relationships/hyperlink" Target="file:///C:\Documents%20and%20Settings\bthomp3\My%20Documents\www.umbc.edu\s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bc.edu/gradsch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bc.edu/registr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bc.edu/financiala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bc.edu/sb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062E-1BB5-4928-8D3F-07B999DC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 County</Company>
  <LinksUpToDate>false</LinksUpToDate>
  <CharactersWithSpaces>3506</CharactersWithSpaces>
  <SharedDoc>false</SharedDoc>
  <HLinks>
    <vt:vector size="36" baseType="variant">
      <vt:variant>
        <vt:i4>4653072</vt:i4>
      </vt:variant>
      <vt:variant>
        <vt:i4>15</vt:i4>
      </vt:variant>
      <vt:variant>
        <vt:i4>0</vt:i4>
      </vt:variant>
      <vt:variant>
        <vt:i4>5</vt:i4>
      </vt:variant>
      <vt:variant>
        <vt:lpwstr>www.umbc.edu/sbs</vt:lpwstr>
      </vt:variant>
      <vt:variant>
        <vt:lpwstr/>
      </vt:variant>
      <vt:variant>
        <vt:i4>3080252</vt:i4>
      </vt:variant>
      <vt:variant>
        <vt:i4>12</vt:i4>
      </vt:variant>
      <vt:variant>
        <vt:i4>0</vt:i4>
      </vt:variant>
      <vt:variant>
        <vt:i4>5</vt:i4>
      </vt:variant>
      <vt:variant>
        <vt:lpwstr>http://www.umbc.edu/gradschool</vt:lpwstr>
      </vt:variant>
      <vt:variant>
        <vt:lpwstr/>
      </vt:variant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http://www.umbc.edu/registrar</vt:lpwstr>
      </vt:variant>
      <vt:variant>
        <vt:lpwstr/>
      </vt:variant>
      <vt:variant>
        <vt:i4>5636164</vt:i4>
      </vt:variant>
      <vt:variant>
        <vt:i4>6</vt:i4>
      </vt:variant>
      <vt:variant>
        <vt:i4>0</vt:i4>
      </vt:variant>
      <vt:variant>
        <vt:i4>5</vt:i4>
      </vt:variant>
      <vt:variant>
        <vt:lpwstr>http://www.umbc.edu/financialaid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http://www.umbc.edu/sbs</vt:lpwstr>
      </vt:variant>
      <vt:variant>
        <vt:lpwstr/>
      </vt:variant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http://www.umbc.edu/summer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bthomp3</dc:creator>
  <cp:lastModifiedBy>Dan Neeley</cp:lastModifiedBy>
  <cp:revision>13</cp:revision>
  <cp:lastPrinted>2014-06-12T15:24:00Z</cp:lastPrinted>
  <dcterms:created xsi:type="dcterms:W3CDTF">2013-03-22T20:25:00Z</dcterms:created>
  <dcterms:modified xsi:type="dcterms:W3CDTF">2015-04-16T14:13:00Z</dcterms:modified>
</cp:coreProperties>
</file>